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3B" w:rsidRDefault="00A95F3B" w:rsidP="00A95F3B">
      <w:pPr>
        <w:shd w:val="clear" w:color="auto" w:fill="FFFFFF"/>
        <w:spacing w:before="100" w:beforeAutospacing="1" w:after="0" w:line="240" w:lineRule="auto"/>
        <w:outlineLvl w:val="2"/>
        <w:rPr>
          <w:rFonts w:ascii="Verdana" w:eastAsia="Times New Roman" w:hAnsi="Verdana" w:cs="Tahoma"/>
          <w:b/>
          <w:bCs/>
          <w:color w:val="000000"/>
          <w:sz w:val="23"/>
          <w:szCs w:val="23"/>
          <w:lang w:eastAsia="en-CA"/>
        </w:rPr>
      </w:pPr>
    </w:p>
    <w:p w:rsidR="00A95F3B" w:rsidRPr="001568E9" w:rsidRDefault="00A95F3B" w:rsidP="00A95F3B">
      <w:pPr>
        <w:shd w:val="clear" w:color="auto" w:fill="FFFFFF"/>
        <w:spacing w:before="100" w:beforeAutospacing="1" w:after="0" w:line="240" w:lineRule="auto"/>
        <w:outlineLvl w:val="2"/>
        <w:rPr>
          <w:rFonts w:eastAsia="Times New Roman" w:cs="Tahoma"/>
          <w:b/>
          <w:bCs/>
          <w:color w:val="000000"/>
          <w:u w:val="single"/>
          <w:lang w:eastAsia="en-CA"/>
        </w:rPr>
      </w:pPr>
      <w:r w:rsidRPr="001568E9">
        <w:rPr>
          <w:rFonts w:eastAsia="Times New Roman" w:cs="Tahoma"/>
          <w:b/>
          <w:bCs/>
          <w:color w:val="000000"/>
          <w:u w:val="single"/>
          <w:lang w:eastAsia="en-CA"/>
        </w:rPr>
        <w:t>CAPPA Program Overview</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The Five level program was developed by the Canadian Association of Petroleum Production Accounting (CAPPA)</w:t>
      </w:r>
    </w:p>
    <w:p w:rsidR="00A95F3B" w:rsidRPr="001568E9" w:rsidRDefault="00A95F3B" w:rsidP="00A95F3B">
      <w:pPr>
        <w:shd w:val="clear" w:color="auto" w:fill="FFFFFF"/>
        <w:spacing w:before="100" w:beforeAutospacing="1" w:after="0" w:line="240" w:lineRule="auto"/>
        <w:outlineLvl w:val="3"/>
        <w:rPr>
          <w:rFonts w:eastAsia="Times New Roman" w:cs="Tahoma"/>
          <w:b/>
          <w:bCs/>
          <w:color w:val="000000"/>
          <w:lang w:eastAsia="en-CA"/>
        </w:rPr>
      </w:pPr>
      <w:r w:rsidRPr="001568E9">
        <w:rPr>
          <w:rFonts w:eastAsia="Times New Roman" w:cs="Tahoma"/>
          <w:b/>
          <w:bCs/>
          <w:color w:val="000000"/>
          <w:lang w:eastAsia="en-CA"/>
        </w:rPr>
        <w:t>Level 1</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This course provides an excellent overview of the Petroleum Industry including geology, exploration, land and scouting, reservoir engineering, economics, enhanced recovery, drilling, completions and work over’s, production operations, oil pipelines, transportation, refining and marketing and the roles of the production, revenue and joint venture accountants.</w:t>
      </w:r>
    </w:p>
    <w:p w:rsidR="00A95F3B" w:rsidRPr="001568E9" w:rsidRDefault="00A95F3B" w:rsidP="00A95F3B">
      <w:pPr>
        <w:shd w:val="clear" w:color="auto" w:fill="FFFFFF"/>
        <w:spacing w:before="100" w:beforeAutospacing="1" w:after="0" w:line="240" w:lineRule="auto"/>
        <w:outlineLvl w:val="3"/>
        <w:rPr>
          <w:rFonts w:eastAsia="Times New Roman" w:cs="Tahoma"/>
          <w:b/>
          <w:bCs/>
          <w:color w:val="000000"/>
          <w:lang w:eastAsia="en-CA"/>
        </w:rPr>
      </w:pPr>
      <w:r w:rsidRPr="001568E9">
        <w:rPr>
          <w:rFonts w:eastAsia="Times New Roman" w:cs="Tahoma"/>
          <w:b/>
          <w:bCs/>
          <w:color w:val="000000"/>
          <w:lang w:eastAsia="en-CA"/>
        </w:rPr>
        <w:t>Level 2</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Topics include field practices and accounting procedures from wellhead to market, including AER oil well reporting, oil royalties and APMC reports, Alberta heavy oil reporting, compliance &amp; AER reporting, pipeline operations and BC and Saskatchewan reporting.</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Prerequisites: Level 1 and all mandatory Petrinex modules</w:t>
      </w:r>
    </w:p>
    <w:p w:rsidR="00A95F3B" w:rsidRPr="001568E9" w:rsidRDefault="00A95F3B" w:rsidP="00A95F3B">
      <w:pPr>
        <w:shd w:val="clear" w:color="auto" w:fill="FFFFFF"/>
        <w:spacing w:before="100" w:beforeAutospacing="1" w:after="0" w:line="240" w:lineRule="auto"/>
        <w:outlineLvl w:val="3"/>
        <w:rPr>
          <w:rFonts w:eastAsia="Times New Roman" w:cs="Tahoma"/>
          <w:b/>
          <w:bCs/>
          <w:color w:val="000000"/>
          <w:lang w:eastAsia="en-CA"/>
        </w:rPr>
      </w:pPr>
      <w:r w:rsidRPr="001568E9">
        <w:rPr>
          <w:rFonts w:eastAsia="Times New Roman" w:cs="Tahoma"/>
          <w:b/>
          <w:bCs/>
          <w:color w:val="000000"/>
          <w:lang w:eastAsia="en-CA"/>
        </w:rPr>
        <w:t>Level 3</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Materials and exercises on field handling and gas processing, gas measurement, shallow gas, AER gas well and facility reporting, oil, gas, NGL and sulphur marketing, natural gas purchase/sale contracts, gas plant allocations and joint venture accounting.</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Prerequisites: Level 2 and all mandatory Petrinex modules</w:t>
      </w:r>
    </w:p>
    <w:p w:rsidR="00A95F3B" w:rsidRPr="001568E9" w:rsidRDefault="00A95F3B" w:rsidP="00A95F3B">
      <w:pPr>
        <w:shd w:val="clear" w:color="auto" w:fill="FFFFFF"/>
        <w:spacing w:before="100" w:beforeAutospacing="1" w:after="0" w:line="240" w:lineRule="auto"/>
        <w:outlineLvl w:val="3"/>
        <w:rPr>
          <w:rFonts w:eastAsia="Times New Roman" w:cs="Tahoma"/>
          <w:b/>
          <w:bCs/>
          <w:color w:val="000000"/>
          <w:lang w:eastAsia="en-CA"/>
        </w:rPr>
      </w:pPr>
      <w:r w:rsidRPr="001568E9">
        <w:rPr>
          <w:rFonts w:eastAsia="Times New Roman" w:cs="Tahoma"/>
          <w:b/>
          <w:bCs/>
          <w:color w:val="000000"/>
          <w:lang w:eastAsia="en-CA"/>
        </w:rPr>
        <w:t>Level 4</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Topics include Alberta gas royalties, allowable costs, volumetric/royalty trigger, valuation, Alberta Gas Royalty/Crown Royalty invoice, Indian royalties, Saskatchewan and BC royalties, unitization and oil and gas revenue accounting.</w:t>
      </w:r>
    </w:p>
    <w:p w:rsidR="00A95F3B" w:rsidRPr="001568E9" w:rsidRDefault="00A95F3B" w:rsidP="00A95F3B">
      <w:pPr>
        <w:shd w:val="clear" w:color="auto" w:fill="FFFFFF"/>
        <w:spacing w:before="100" w:beforeAutospacing="1" w:after="0" w:line="240" w:lineRule="auto"/>
        <w:rPr>
          <w:rFonts w:eastAsia="Times New Roman" w:cs="Tahoma"/>
          <w:color w:val="333333"/>
          <w:lang w:eastAsia="en-CA"/>
        </w:rPr>
      </w:pPr>
      <w:r w:rsidRPr="001568E9">
        <w:rPr>
          <w:rFonts w:eastAsia="Times New Roman" w:cs="Tahoma"/>
          <w:color w:val="333333"/>
          <w:lang w:eastAsia="en-CA"/>
        </w:rPr>
        <w:t>Prerequisites: Level 3 and all mandatory Petrinex modules</w:t>
      </w:r>
    </w:p>
    <w:p w:rsidR="00A95F3B" w:rsidRPr="001568E9" w:rsidRDefault="00A95F3B" w:rsidP="00A95F3B">
      <w:pPr>
        <w:shd w:val="clear" w:color="auto" w:fill="FFFFFF"/>
        <w:spacing w:before="100" w:beforeAutospacing="1" w:after="0" w:line="240" w:lineRule="auto"/>
        <w:outlineLvl w:val="3"/>
        <w:rPr>
          <w:rFonts w:eastAsia="Times New Roman" w:cs="Tahoma"/>
          <w:b/>
          <w:bCs/>
          <w:color w:val="000000"/>
          <w:lang w:eastAsia="en-CA"/>
        </w:rPr>
      </w:pPr>
      <w:r w:rsidRPr="001568E9">
        <w:rPr>
          <w:rFonts w:eastAsia="Times New Roman" w:cs="Tahoma"/>
          <w:b/>
          <w:bCs/>
          <w:color w:val="000000"/>
          <w:lang w:eastAsia="en-CA"/>
        </w:rPr>
        <w:t>Level 5 (in class Practicum)</w:t>
      </w:r>
    </w:p>
    <w:p w:rsidR="001568E9" w:rsidRPr="001568E9" w:rsidRDefault="00A95F3B" w:rsidP="009A460F">
      <w:pPr>
        <w:shd w:val="clear" w:color="auto" w:fill="FFFFFF"/>
        <w:spacing w:before="100" w:beforeAutospacing="1" w:after="0" w:line="240" w:lineRule="auto"/>
      </w:pPr>
      <w:r w:rsidRPr="001568E9">
        <w:rPr>
          <w:rFonts w:eastAsia="Times New Roman" w:cs="Tahoma"/>
          <w:color w:val="333333"/>
          <w:lang w:eastAsia="en-CA"/>
        </w:rPr>
        <w:t>This course assists learners by improving their analytical skills and acquiring knowledge that is required for a junior production accounting role. It includes a complete monthly production cycle, case study simulation, and will allow the learner to apply previous learning acquired in Levels 1 through 4 of the CAPPA program. Independent of any production accounting software, Excel models and templates are used whenever possible to increase the learners experience using Microsoft Excel.</w:t>
      </w:r>
      <w:bookmarkStart w:id="0" w:name="_GoBack"/>
      <w:bookmarkEnd w:id="0"/>
    </w:p>
    <w:sectPr w:rsidR="001568E9" w:rsidRPr="00156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3B"/>
    <w:rsid w:val="000C353B"/>
    <w:rsid w:val="001568E9"/>
    <w:rsid w:val="00255B57"/>
    <w:rsid w:val="009A460F"/>
    <w:rsid w:val="00A95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6E5AD-757B-47C2-A2A2-A63C429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5F3B"/>
    <w:pPr>
      <w:spacing w:before="100" w:beforeAutospacing="1" w:after="100" w:afterAutospacing="1" w:line="240" w:lineRule="auto"/>
      <w:outlineLvl w:val="2"/>
    </w:pPr>
    <w:rPr>
      <w:rFonts w:ascii="Verdana" w:eastAsia="Times New Roman" w:hAnsi="Verdana" w:cs="Times New Roman"/>
      <w:b/>
      <w:bCs/>
      <w:color w:val="000000"/>
      <w:sz w:val="23"/>
      <w:szCs w:val="23"/>
      <w:lang w:eastAsia="en-CA"/>
    </w:rPr>
  </w:style>
  <w:style w:type="paragraph" w:styleId="Heading4">
    <w:name w:val="heading 4"/>
    <w:basedOn w:val="Normal"/>
    <w:link w:val="Heading4Char"/>
    <w:uiPriority w:val="9"/>
    <w:qFormat/>
    <w:rsid w:val="00A95F3B"/>
    <w:pPr>
      <w:spacing w:before="100" w:beforeAutospacing="1" w:after="100" w:afterAutospacing="1" w:line="240" w:lineRule="auto"/>
      <w:outlineLvl w:val="3"/>
    </w:pPr>
    <w:rPr>
      <w:rFonts w:ascii="Verdana" w:eastAsia="Times New Roman" w:hAnsi="Verdana" w:cs="Times New Roman"/>
      <w:b/>
      <w:bCs/>
      <w:color w:val="00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F3B"/>
    <w:rPr>
      <w:rFonts w:ascii="Verdana" w:eastAsia="Times New Roman" w:hAnsi="Verdana" w:cs="Times New Roman"/>
      <w:b/>
      <w:bCs/>
      <w:color w:val="000000"/>
      <w:sz w:val="23"/>
      <w:szCs w:val="23"/>
      <w:lang w:eastAsia="en-CA"/>
    </w:rPr>
  </w:style>
  <w:style w:type="character" w:customStyle="1" w:styleId="Heading4Char">
    <w:name w:val="Heading 4 Char"/>
    <w:basedOn w:val="DefaultParagraphFont"/>
    <w:link w:val="Heading4"/>
    <w:uiPriority w:val="9"/>
    <w:rsid w:val="00A95F3B"/>
    <w:rPr>
      <w:rFonts w:ascii="Verdana" w:eastAsia="Times New Roman" w:hAnsi="Verdana" w:cs="Times New Roman"/>
      <w:b/>
      <w:bCs/>
      <w:color w:val="000000"/>
      <w:sz w:val="21"/>
      <w:szCs w:val="21"/>
      <w:lang w:eastAsia="en-CA"/>
    </w:rPr>
  </w:style>
  <w:style w:type="paragraph" w:styleId="NormalWeb">
    <w:name w:val="Normal (Web)"/>
    <w:basedOn w:val="Normal"/>
    <w:uiPriority w:val="99"/>
    <w:semiHidden/>
    <w:unhideWhenUsed/>
    <w:rsid w:val="00A95F3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40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447">
          <w:marLeft w:val="0"/>
          <w:marRight w:val="0"/>
          <w:marTop w:val="0"/>
          <w:marBottom w:val="0"/>
          <w:divBdr>
            <w:top w:val="none" w:sz="0" w:space="0" w:color="auto"/>
            <w:left w:val="none" w:sz="0" w:space="0" w:color="auto"/>
            <w:bottom w:val="none" w:sz="0" w:space="0" w:color="auto"/>
            <w:right w:val="none" w:sz="0" w:space="0" w:color="auto"/>
          </w:divBdr>
          <w:divsChild>
            <w:div w:id="2025546844">
              <w:marLeft w:val="0"/>
              <w:marRight w:val="0"/>
              <w:marTop w:val="0"/>
              <w:marBottom w:val="0"/>
              <w:divBdr>
                <w:top w:val="none" w:sz="0" w:space="0" w:color="auto"/>
                <w:left w:val="none" w:sz="0" w:space="0" w:color="auto"/>
                <w:bottom w:val="none" w:sz="0" w:space="0" w:color="auto"/>
                <w:right w:val="none" w:sz="0" w:space="0" w:color="auto"/>
              </w:divBdr>
              <w:divsChild>
                <w:div w:id="566259813">
                  <w:marLeft w:val="0"/>
                  <w:marRight w:val="0"/>
                  <w:marTop w:val="0"/>
                  <w:marBottom w:val="0"/>
                  <w:divBdr>
                    <w:top w:val="none" w:sz="0" w:space="0" w:color="auto"/>
                    <w:left w:val="none" w:sz="0" w:space="0" w:color="auto"/>
                    <w:bottom w:val="none" w:sz="0" w:space="0" w:color="auto"/>
                    <w:right w:val="none" w:sz="0" w:space="0" w:color="auto"/>
                  </w:divBdr>
                  <w:divsChild>
                    <w:div w:id="1457986983">
                      <w:marLeft w:val="0"/>
                      <w:marRight w:val="0"/>
                      <w:marTop w:val="0"/>
                      <w:marBottom w:val="0"/>
                      <w:divBdr>
                        <w:top w:val="none" w:sz="0" w:space="0" w:color="auto"/>
                        <w:left w:val="none" w:sz="0" w:space="0" w:color="auto"/>
                        <w:bottom w:val="none" w:sz="0" w:space="0" w:color="auto"/>
                        <w:right w:val="none" w:sz="0" w:space="0" w:color="auto"/>
                      </w:divBdr>
                      <w:divsChild>
                        <w:div w:id="1773478586">
                          <w:marLeft w:val="45"/>
                          <w:marRight w:val="45"/>
                          <w:marTop w:val="0"/>
                          <w:marBottom w:val="0"/>
                          <w:divBdr>
                            <w:top w:val="none" w:sz="0" w:space="0" w:color="auto"/>
                            <w:left w:val="none" w:sz="0" w:space="0" w:color="auto"/>
                            <w:bottom w:val="none" w:sz="0" w:space="0" w:color="auto"/>
                            <w:right w:val="none" w:sz="0" w:space="0" w:color="auto"/>
                          </w:divBdr>
                          <w:divsChild>
                            <w:div w:id="1087849122">
                              <w:marLeft w:val="0"/>
                              <w:marRight w:val="0"/>
                              <w:marTop w:val="0"/>
                              <w:marBottom w:val="0"/>
                              <w:divBdr>
                                <w:top w:val="none" w:sz="0" w:space="0" w:color="auto"/>
                                <w:left w:val="none" w:sz="0" w:space="0" w:color="auto"/>
                                <w:bottom w:val="none" w:sz="0" w:space="0" w:color="auto"/>
                                <w:right w:val="none" w:sz="0" w:space="0" w:color="auto"/>
                              </w:divBdr>
                              <w:divsChild>
                                <w:div w:id="499733558">
                                  <w:marLeft w:val="0"/>
                                  <w:marRight w:val="0"/>
                                  <w:marTop w:val="0"/>
                                  <w:marBottom w:val="0"/>
                                  <w:divBdr>
                                    <w:top w:val="none" w:sz="0" w:space="0" w:color="auto"/>
                                    <w:left w:val="none" w:sz="0" w:space="0" w:color="auto"/>
                                    <w:bottom w:val="none" w:sz="0" w:space="0" w:color="auto"/>
                                    <w:right w:val="none" w:sz="0" w:space="0" w:color="auto"/>
                                  </w:divBdr>
                                  <w:divsChild>
                                    <w:div w:id="554855679">
                                      <w:marLeft w:val="0"/>
                                      <w:marRight w:val="0"/>
                                      <w:marTop w:val="0"/>
                                      <w:marBottom w:val="0"/>
                                      <w:divBdr>
                                        <w:top w:val="none" w:sz="0" w:space="0" w:color="auto"/>
                                        <w:left w:val="none" w:sz="0" w:space="0" w:color="auto"/>
                                        <w:bottom w:val="none" w:sz="0" w:space="0" w:color="auto"/>
                                        <w:right w:val="none" w:sz="0" w:space="0" w:color="auto"/>
                                      </w:divBdr>
                                      <w:divsChild>
                                        <w:div w:id="1564412105">
                                          <w:marLeft w:val="0"/>
                                          <w:marRight w:val="0"/>
                                          <w:marTop w:val="0"/>
                                          <w:marBottom w:val="0"/>
                                          <w:divBdr>
                                            <w:top w:val="none" w:sz="0" w:space="0" w:color="auto"/>
                                            <w:left w:val="none" w:sz="0" w:space="0" w:color="auto"/>
                                            <w:bottom w:val="none" w:sz="0" w:space="0" w:color="auto"/>
                                            <w:right w:val="none" w:sz="0" w:space="0" w:color="auto"/>
                                          </w:divBdr>
                                          <w:divsChild>
                                            <w:div w:id="2032611207">
                                              <w:marLeft w:val="0"/>
                                              <w:marRight w:val="0"/>
                                              <w:marTop w:val="0"/>
                                              <w:marBottom w:val="0"/>
                                              <w:divBdr>
                                                <w:top w:val="none" w:sz="0" w:space="0" w:color="auto"/>
                                                <w:left w:val="none" w:sz="0" w:space="0" w:color="auto"/>
                                                <w:bottom w:val="none" w:sz="0" w:space="0" w:color="auto"/>
                                                <w:right w:val="none" w:sz="0" w:space="0" w:color="auto"/>
                                              </w:divBdr>
                                              <w:divsChild>
                                                <w:div w:id="423190131">
                                                  <w:marLeft w:val="0"/>
                                                  <w:marRight w:val="0"/>
                                                  <w:marTop w:val="0"/>
                                                  <w:marBottom w:val="0"/>
                                                  <w:divBdr>
                                                    <w:top w:val="none" w:sz="0" w:space="0" w:color="auto"/>
                                                    <w:left w:val="none" w:sz="0" w:space="0" w:color="auto"/>
                                                    <w:bottom w:val="none" w:sz="0" w:space="0" w:color="auto"/>
                                                    <w:right w:val="none" w:sz="0" w:space="0" w:color="auto"/>
                                                  </w:divBdr>
                                                  <w:divsChild>
                                                    <w:div w:id="688719259">
                                                      <w:marLeft w:val="0"/>
                                                      <w:marRight w:val="0"/>
                                                      <w:marTop w:val="0"/>
                                                      <w:marBottom w:val="0"/>
                                                      <w:divBdr>
                                                        <w:top w:val="none" w:sz="0" w:space="0" w:color="auto"/>
                                                        <w:left w:val="none" w:sz="0" w:space="0" w:color="auto"/>
                                                        <w:bottom w:val="none" w:sz="0" w:space="0" w:color="auto"/>
                                                        <w:right w:val="none" w:sz="0" w:space="0" w:color="auto"/>
                                                      </w:divBdr>
                                                      <w:divsChild>
                                                        <w:div w:id="320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998962">
              <w:marLeft w:val="0"/>
              <w:marRight w:val="0"/>
              <w:marTop w:val="0"/>
              <w:marBottom w:val="0"/>
              <w:divBdr>
                <w:top w:val="none" w:sz="0" w:space="0" w:color="auto"/>
                <w:left w:val="none" w:sz="0" w:space="0" w:color="auto"/>
                <w:bottom w:val="none" w:sz="0" w:space="0" w:color="auto"/>
                <w:right w:val="none" w:sz="0" w:space="0" w:color="auto"/>
              </w:divBdr>
              <w:divsChild>
                <w:div w:id="928151165">
                  <w:marLeft w:val="0"/>
                  <w:marRight w:val="0"/>
                  <w:marTop w:val="0"/>
                  <w:marBottom w:val="0"/>
                  <w:divBdr>
                    <w:top w:val="none" w:sz="0" w:space="0" w:color="auto"/>
                    <w:left w:val="none" w:sz="0" w:space="0" w:color="auto"/>
                    <w:bottom w:val="none" w:sz="0" w:space="0" w:color="auto"/>
                    <w:right w:val="none" w:sz="0" w:space="0" w:color="auto"/>
                  </w:divBdr>
                  <w:divsChild>
                    <w:div w:id="51851559">
                      <w:marLeft w:val="0"/>
                      <w:marRight w:val="0"/>
                      <w:marTop w:val="0"/>
                      <w:marBottom w:val="0"/>
                      <w:divBdr>
                        <w:top w:val="none" w:sz="0" w:space="0" w:color="auto"/>
                        <w:left w:val="none" w:sz="0" w:space="0" w:color="auto"/>
                        <w:bottom w:val="none" w:sz="0" w:space="0" w:color="auto"/>
                        <w:right w:val="none" w:sz="0" w:space="0" w:color="auto"/>
                      </w:divBdr>
                      <w:divsChild>
                        <w:div w:id="804350937">
                          <w:marLeft w:val="0"/>
                          <w:marRight w:val="0"/>
                          <w:marTop w:val="0"/>
                          <w:marBottom w:val="0"/>
                          <w:divBdr>
                            <w:top w:val="none" w:sz="0" w:space="0" w:color="auto"/>
                            <w:left w:val="none" w:sz="0" w:space="0" w:color="auto"/>
                            <w:bottom w:val="none" w:sz="0" w:space="0" w:color="auto"/>
                            <w:right w:val="none" w:sz="0" w:space="0" w:color="auto"/>
                          </w:divBdr>
                          <w:divsChild>
                            <w:div w:id="601718440">
                              <w:marLeft w:val="0"/>
                              <w:marRight w:val="0"/>
                              <w:marTop w:val="0"/>
                              <w:marBottom w:val="0"/>
                              <w:divBdr>
                                <w:top w:val="none" w:sz="0" w:space="0" w:color="auto"/>
                                <w:left w:val="none" w:sz="0" w:space="0" w:color="auto"/>
                                <w:bottom w:val="none" w:sz="0" w:space="0" w:color="auto"/>
                                <w:right w:val="none" w:sz="0" w:space="0" w:color="auto"/>
                              </w:divBdr>
                              <w:divsChild>
                                <w:div w:id="812017412">
                                  <w:marLeft w:val="0"/>
                                  <w:marRight w:val="0"/>
                                  <w:marTop w:val="0"/>
                                  <w:marBottom w:val="0"/>
                                  <w:divBdr>
                                    <w:top w:val="none" w:sz="0" w:space="0" w:color="auto"/>
                                    <w:left w:val="none" w:sz="0" w:space="0" w:color="auto"/>
                                    <w:bottom w:val="none" w:sz="0" w:space="0" w:color="auto"/>
                                    <w:right w:val="none" w:sz="0" w:space="0" w:color="auto"/>
                                  </w:divBdr>
                                  <w:divsChild>
                                    <w:div w:id="2111075938">
                                      <w:marLeft w:val="0"/>
                                      <w:marRight w:val="0"/>
                                      <w:marTop w:val="0"/>
                                      <w:marBottom w:val="0"/>
                                      <w:divBdr>
                                        <w:top w:val="none" w:sz="0" w:space="0" w:color="auto"/>
                                        <w:left w:val="none" w:sz="0" w:space="0" w:color="auto"/>
                                        <w:bottom w:val="none" w:sz="0" w:space="0" w:color="auto"/>
                                        <w:right w:val="none" w:sz="0" w:space="0" w:color="auto"/>
                                      </w:divBdr>
                                      <w:divsChild>
                                        <w:div w:id="1806662057">
                                          <w:marLeft w:val="0"/>
                                          <w:marRight w:val="0"/>
                                          <w:marTop w:val="0"/>
                                          <w:marBottom w:val="0"/>
                                          <w:divBdr>
                                            <w:top w:val="none" w:sz="0" w:space="0" w:color="auto"/>
                                            <w:left w:val="none" w:sz="0" w:space="0" w:color="auto"/>
                                            <w:bottom w:val="none" w:sz="0" w:space="0" w:color="auto"/>
                                            <w:right w:val="none" w:sz="0" w:space="0" w:color="auto"/>
                                          </w:divBdr>
                                          <w:divsChild>
                                            <w:div w:id="48964436">
                                              <w:marLeft w:val="0"/>
                                              <w:marRight w:val="0"/>
                                              <w:marTop w:val="0"/>
                                              <w:marBottom w:val="0"/>
                                              <w:divBdr>
                                                <w:top w:val="none" w:sz="0" w:space="0" w:color="auto"/>
                                                <w:left w:val="none" w:sz="0" w:space="0" w:color="auto"/>
                                                <w:bottom w:val="none" w:sz="0" w:space="0" w:color="auto"/>
                                                <w:right w:val="none" w:sz="0" w:space="0" w:color="auto"/>
                                              </w:divBdr>
                                              <w:divsChild>
                                                <w:div w:id="1561330324">
                                                  <w:marLeft w:val="0"/>
                                                  <w:marRight w:val="0"/>
                                                  <w:marTop w:val="0"/>
                                                  <w:marBottom w:val="0"/>
                                                  <w:divBdr>
                                                    <w:top w:val="none" w:sz="0" w:space="0" w:color="auto"/>
                                                    <w:left w:val="none" w:sz="0" w:space="0" w:color="auto"/>
                                                    <w:bottom w:val="none" w:sz="0" w:space="0" w:color="auto"/>
                                                    <w:right w:val="none" w:sz="0" w:space="0" w:color="auto"/>
                                                  </w:divBdr>
                                                  <w:divsChild>
                                                    <w:div w:id="1669137090">
                                                      <w:marLeft w:val="0"/>
                                                      <w:marRight w:val="0"/>
                                                      <w:marTop w:val="0"/>
                                                      <w:marBottom w:val="0"/>
                                                      <w:divBdr>
                                                        <w:top w:val="none" w:sz="0" w:space="0" w:color="auto"/>
                                                        <w:left w:val="none" w:sz="0" w:space="0" w:color="auto"/>
                                                        <w:bottom w:val="none" w:sz="0" w:space="0" w:color="auto"/>
                                                        <w:right w:val="none" w:sz="0" w:space="0" w:color="auto"/>
                                                      </w:divBdr>
                                                      <w:divsChild>
                                                        <w:div w:id="213199934">
                                                          <w:marLeft w:val="0"/>
                                                          <w:marRight w:val="0"/>
                                                          <w:marTop w:val="0"/>
                                                          <w:marBottom w:val="0"/>
                                                          <w:divBdr>
                                                            <w:top w:val="none" w:sz="0" w:space="0" w:color="auto"/>
                                                            <w:left w:val="none" w:sz="0" w:space="0" w:color="auto"/>
                                                            <w:bottom w:val="none" w:sz="0" w:space="0" w:color="auto"/>
                                                            <w:right w:val="none" w:sz="0" w:space="0" w:color="auto"/>
                                                          </w:divBdr>
                                                          <w:divsChild>
                                                            <w:div w:id="1811433504">
                                                              <w:marLeft w:val="0"/>
                                                              <w:marRight w:val="0"/>
                                                              <w:marTop w:val="0"/>
                                                              <w:marBottom w:val="0"/>
                                                              <w:divBdr>
                                                                <w:top w:val="none" w:sz="0" w:space="0" w:color="auto"/>
                                                                <w:left w:val="none" w:sz="0" w:space="0" w:color="auto"/>
                                                                <w:bottom w:val="none" w:sz="0" w:space="0" w:color="auto"/>
                                                                <w:right w:val="none" w:sz="0" w:space="0" w:color="auto"/>
                                                              </w:divBdr>
                                                              <w:divsChild>
                                                                <w:div w:id="1797093531">
                                                                  <w:marLeft w:val="0"/>
                                                                  <w:marRight w:val="0"/>
                                                                  <w:marTop w:val="0"/>
                                                                  <w:marBottom w:val="0"/>
                                                                  <w:divBdr>
                                                                    <w:top w:val="none" w:sz="0" w:space="0" w:color="auto"/>
                                                                    <w:left w:val="none" w:sz="0" w:space="0" w:color="auto"/>
                                                                    <w:bottom w:val="none" w:sz="0" w:space="0" w:color="auto"/>
                                                                    <w:right w:val="none" w:sz="0" w:space="0" w:color="auto"/>
                                                                  </w:divBdr>
                                                                  <w:divsChild>
                                                                    <w:div w:id="826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Glamoclija</dc:creator>
  <cp:keywords/>
  <dc:description/>
  <cp:lastModifiedBy>Danijela Glamoclija</cp:lastModifiedBy>
  <cp:revision>3</cp:revision>
  <dcterms:created xsi:type="dcterms:W3CDTF">2014-12-15T17:36:00Z</dcterms:created>
  <dcterms:modified xsi:type="dcterms:W3CDTF">2014-12-15T17:59:00Z</dcterms:modified>
</cp:coreProperties>
</file>